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745DD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Пояснительная записка</w:t>
      </w:r>
    </w:p>
    <w:p>
      <w:pPr>
        <w:jc w:val="center"/>
        <w:rPr>
          <w:rFonts w:ascii="Times New Roman" w:hAnsi="Times New Roman"/>
          <w:b w:val="1"/>
        </w:rPr>
      </w:pPr>
    </w:p>
    <w:p>
      <w:pPr>
        <w:tabs>
          <w:tab w:val="left" w:pos="7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Программа по балкарскому языку для 9 класса составлена на основе Фундаментального ядра содержания общего образования и требования к результатам основного общего образования, представленного в Федеральном государственном образовательном стандарте общего образования второго поколения. </w:t>
      </w:r>
    </w:p>
    <w:p>
      <w:pPr>
        <w:tabs>
          <w:tab w:val="left" w:pos="7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Программа учитывает требования ОП ООО ГБОУ «КШИ №2», а также Положение о рабочей программе ГБОУ «КШИ №2».</w:t>
      </w:r>
    </w:p>
    <w:p>
      <w:pPr>
        <w:tabs>
          <w:tab w:val="left" w:pos="7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Учебный год состоит из 34 учебных недель. Курс рассчитан на 34 часа годовых. Из расчета на 1 час по пятидневной рабочей неделе.</w:t>
      </w:r>
    </w:p>
    <w:p>
      <w:pPr>
        <w:tabs>
          <w:tab w:val="left" w:pos="7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Рабочая программа 9 класса составлена на основе республиканской целевой программы «Модернизация учебной книги на национальных языках на 2007-2011 годы» созданной министерством образования Кабардино-Балкарской Республики «Малкъар тилден программала 5-9-чу, 11-чи класслагъа» Нальчик, «Книга» 2011 г.</w:t>
      </w:r>
    </w:p>
    <w:p>
      <w:pPr>
        <w:tabs>
          <w:tab w:val="left" w:pos="78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конкретизирует содержание тем образовательного стандарта по балкарскому языку «Балкарский язык-9 класс». </w:t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ориентирована на использование   учебника: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И. Х. Ахматов, М. Б. Кетенчиев,</w:t>
      </w:r>
      <w:r>
        <w:rPr>
          <w:rFonts w:ascii="Times New Roman" w:hAnsi="Times New Roman"/>
        </w:rPr>
        <w:t xml:space="preserve"> «Балкарский язык - 9класс», Нальчик. «Эльбрус», 2014.</w:t>
      </w:r>
    </w:p>
    <w:p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изучение  программного  материала  выделяется  51  час в год, 1ч. в неделю – 1 полугодие, 2 часа в неделю 2- полугодие.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Цель изучения балкарского языка в школе: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расширение кругозора обучающихся;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воспитание духовно-богатой, нравственно-ориентированной личности на традициях и обычаях балкарского народа;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овладение системой знаний, языковыми и речевыми умениями и навыками;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развитие интеллектуальных и творческих способностей обучающихся;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совершенствование коммуникативных способностей через предмет;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применение полученных знаний и умений на практике.</w:t>
      </w:r>
    </w:p>
    <w:p>
      <w:pPr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Цели и задачи курса: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Повторение, обобщение и углубление знаний по балкарскому языку, полученных в основной школе. Программа охватывает все разделы курса «Балкарский язык», однако основное внимание уделяется грамматике, орфографии и пунктуации.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-приобретение знаний о языке как знаковой системе и общественном явлении, его устройстве, развитии и функционировании;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-овладение умениями и навыками использования языка в различных сферах и ситуациях общения, основными нормами литературного языка;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способностей к анализу и оценке языковых явлений и фактов;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-умение пользоваться различными лингвистическими словарями; совершенствование умений и навыков письменной речи;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-освоение компетенций - коммуникативной, языковедческой и культуроведческой.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Место предмета «Балкарский язык» в учебном плане ГБОУ «КШИ №2» определяется на основе Федерального базисного учебного плана для образовательных учреждений Российской Федерации. Данная программа рассчитана на один учебный год-35 часов, 1 час в неделю.</w:t>
      </w: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Планируемые результаты освоения учебного предмета (курса)</w:t>
      </w:r>
    </w:p>
    <w:p>
      <w:pPr>
        <w:ind w:firstLine="708"/>
        <w:jc w:val="both"/>
        <w:rPr>
          <w:rFonts w:ascii="Times New Roman" w:hAnsi="Times New Roman"/>
          <w:b w:val="1"/>
        </w:rPr>
      </w:pPr>
    </w:p>
    <w:p>
      <w:pPr>
        <w:ind w:firstLine="708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Выпускник научится: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владеть общими вопросами: языковой системой, уровнем языковой системы; языковыми единицами речи;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владеть предметом изучения фонетики; классификациями фонетических единиц;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владеть предметом орфоэпии; литературным и диалектным произношением;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владеть предметом изучения графики; принципом русской графики;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владеть предметом изучения лексики и фразеологии; прямым и переносным значением слов; происхождением слов; исконно балкарскими и заимствованными словами; устаревшими словами; фразеологизмами, их значением; источниками балкарской фразеологии; видами словарей;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владеть предметом изучения морфемики и словообразования; единицами морфемики и словообразования; способами словообразования и словоизменения; неморфологическими способами словообразования;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–владеть предметом морфологии; грамматики; единицей морфологии; принципами классификации частей речи; спряжением, как морфологическим признаком;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владеть предметом синтаксиса; единицами синтаксиса; прямым и обратным порядком слов; типами односоставных предложений.</w:t>
      </w:r>
    </w:p>
    <w:p>
      <w:pPr>
        <w:ind w:firstLine="708"/>
        <w:jc w:val="both"/>
        <w:rPr>
          <w:rFonts w:ascii="Times New Roman" w:hAnsi="Times New Roman"/>
          <w:b w:val="1"/>
        </w:rPr>
      </w:pPr>
    </w:p>
    <w:p>
      <w:pPr>
        <w:ind w:firstLine="708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Выпускник получит возможность научиться: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фонетика: производить фонетический разбор;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орфоэпия: правильно произносить употребительные слова разных частей речи;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лексика и фразеология: употреблять фразеологизмы в соответствии с их лексическим значением, пользоваться фразеологическим и этимологическим словарями;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морфемика и словообразование: производить морфемный и словообразовательный разборы слов; различать словоизменение и словообразование;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морфология: классифицировать части речи; составлять устный и письменный ответ о любой части речи и её категориях;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синтаксис: различать и составлять разные виды словосочетаний; различать и составлять разные виды простых предложений, предложения со сравнительными оборотами, с однородными членами, с обособленными членами, с вводными словами и обращениями; производить синтаксический разбор простых предложений;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связная речь: 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художественные тексты, тексты публицистического и научного стилей (повествование с элементами рассуждения, рассуждения с элементами повествования и т. п.); создавать тексты изученных типов в соответствующем стиле речи; писать заявление, автобиографию;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орфография: 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 классе слова с непроверяемыми написаниями; производить орфографический разбор слов;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пунктуация: находить смысловые отрезки в предложениях изученных  типов и текстах; пунктуационно оформлять предложения изученных типов; обосновывать место и выбор знаков препинания; находить и исправлять пунктуационные ошибки; классифицировать знаки препинания по их функциям; производить пунктуационный разбор предложения.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</w:p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Содержание разделов учебного курса, предмета.</w:t>
      </w: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Малкъар тил. Аны сакълауну эм айнытыуну магъанасы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Къайтарыу. Сёз тутуш бла бош айтым (1 с.)</w:t>
      </w:r>
    </w:p>
    <w:p>
      <w:pPr>
        <w:rPr>
          <w:rFonts w:ascii="Times New Roman" w:hAnsi="Times New Roman"/>
          <w:b w:val="1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Тюз эм сёдегей сёз.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Тюз эм сёдегей сёз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Тюз сёзлю айтымлада тыйгъыч белгиле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Ушакъ. Цитата (1 с.)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Къош айтым.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Къош айтым. Къош айтымланы къауумлары (1 с.)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Тенг жарашхан къош айтымла.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Байламлы тенг жарашхан къош айтымлада тыйгъыч белгиле (1 с.)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Бойсуннган къош айтымла.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Бойсуннган къош айтымны ангылатыу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Бойсуннган къош айтымланы кесеклерини байланыулары, алады тыйгъыч белгиле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Бойсуннган къош айтымны кесеклерини къаллайла болгъанларына кёре къауумлары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Бойсуннган башчы эм бойсуннган толтуруучу айтымлы къош айтымла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Бойсуннган хапарчы, бойсуннган айгъакълаучу айтымлы къош айтымла (1 с.)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Бойсуннган болумчу кесекли къош айтымла.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Бойсуннган заманчы кесекли къош айтымла. Бойсуннган орунчу кесекли къош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айтымла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Бойсуннган халчы, бойсуннган сылтаучу кесекли къош айтымла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Бойсуннган себепчи, бойсуннган муратчы кесекли къош айтымла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Бойсуннган ёлчемчи, бойсуннган таянчакъ кесекли къош айтымла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Бойсуннган къош айтымны синтаксис жаны бла тинтиу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Ортакъ членли айтымлада тыйгъыч белгиле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Талай бойсуннган кесеги болгъан къош айтымла (1 с.)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Литература тил. Тилни стильлери.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Малкъар тилни грамматикасын тинтиуню тарыхындан (1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Къайтарыу. Фонетика. Графика. Орфография (1 с.)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5-9-чу класслада окъулгъан затладан къайтарыу.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Сёз къурау. Морфология. Синтаксис. Пунктуация (1 с.)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Кёлденжазма (3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Сынау жаздырма (4 с.)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Эсденжазма (1 с.)</w:t>
      </w:r>
    </w:p>
    <w:p>
      <w:pPr>
        <w:widowControl w:val="1"/>
        <w:spacing w:lineRule="auto" w:line="276" w:after="20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Формы организаций учебных занятий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Фронтальная форма обучения</w:t>
      </w:r>
      <w:r>
        <w:rPr>
          <w:rFonts w:ascii="Times New Roman" w:hAnsi="Times New Roman"/>
        </w:rPr>
        <w:t xml:space="preserve"> - словесная и наглядная передача учебной (проектно-корректирующей) информации одновременно всем учащимся, обмен информацией между учителем и детьми. 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Групповая (парная) форма обучения; группы сменного состава</w:t>
      </w:r>
      <w:r>
        <w:rPr>
          <w:rFonts w:ascii="Times New Roman" w:hAnsi="Times New Roman"/>
        </w:rPr>
        <w:t xml:space="preserve"> - организация парной работы или выполнение дифференцированных заданий группой школьников (с помощью учебника, карточек, классной доски). Учебное сотрудничество (умение договариваться, распределять работу, оценивать свой вклад в результат общей деятельности); соревнование между группами.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Индивидуальная форма обучения (организация самостоятельной работы)</w:t>
      </w:r>
      <w:r>
        <w:rPr>
          <w:rFonts w:ascii="Times New Roman" w:hAnsi="Times New Roman"/>
        </w:rPr>
        <w:t xml:space="preserve"> - работа с учебником, выполнение самостоятельных и контрольных заданий, устный ответ у доски, индивидуальное сообщение новой для класса информации (доклад на заседании школьного клуба). 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Коллективная форма организации обучения</w:t>
      </w:r>
      <w:r>
        <w:rPr>
          <w:rFonts w:ascii="Times New Roman" w:hAnsi="Times New Roman"/>
        </w:rPr>
        <w:t xml:space="preserve"> - частичная или полная передача организации учебного занятия учащимся класса. Создание условий, при которых учащиеся самостоятельно организуют и проводят фрагменты уроков или весь урок.</w:t>
      </w: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rPr>
          <w:rFonts w:ascii="Times New Roman" w:hAnsi="Times New Roman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</w:p>
    <w:p>
      <w:pPr>
        <w:ind w:firstLine="567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Виды учебной деятельности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Наблюдение</w:t>
      </w:r>
      <w:r>
        <w:rPr>
          <w:rFonts w:ascii="Times New Roman" w:hAnsi="Times New Roman"/>
        </w:rPr>
        <w:t xml:space="preserve"> - внешние признаки, свойства объектов познания, получаемые без вмешательства в них.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Эксперимент</w:t>
      </w:r>
      <w:r>
        <w:rPr>
          <w:rFonts w:ascii="Times New Roman" w:hAnsi="Times New Roman"/>
        </w:rPr>
        <w:t xml:space="preserve"> - существенные, ведущие свойства, закономерности объектов природы, получаемые непосредственно путем вмешательства, воздействия на них.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Работа с книгой</w:t>
      </w:r>
      <w:r>
        <w:rPr>
          <w:rFonts w:ascii="Times New Roman" w:hAnsi="Times New Roman"/>
        </w:rPr>
        <w:t xml:space="preserve"> - систематизированная информация, изложенная в учебной, научной и научно-популярной литературе.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Систематизация знаний</w:t>
      </w:r>
      <w:r>
        <w:rPr>
          <w:rFonts w:ascii="Times New Roman" w:hAnsi="Times New Roman"/>
        </w:rPr>
        <w:t xml:space="preserve"> - существенные связи и отношения между отдельными элементами системы научных знаний.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Решение познавательных задач (проблем)</w:t>
      </w:r>
      <w:r>
        <w:rPr>
          <w:rFonts w:ascii="Times New Roman" w:hAnsi="Times New Roman"/>
        </w:rPr>
        <w:t xml:space="preserve"> - комплексная разнообразная информация познавательного характера.</w:t>
      </w:r>
    </w:p>
    <w:p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Построение графиков</w:t>
      </w:r>
      <w:r>
        <w:rPr>
          <w:rFonts w:ascii="Times New Roman" w:hAnsi="Times New Roman"/>
        </w:rPr>
        <w:t xml:space="preserve"> - закономерные связи между явлениями (свойствами, процессами, характеристиками).</w:t>
      </w:r>
    </w:p>
    <w:p>
      <w:pPr>
        <w:rPr>
          <w:rFonts w:ascii="Times New Roman" w:hAnsi="Times New Roman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</w:p>
    <w:p>
      <w:pPr>
        <w:spacing w:after="120" w:beforeAutospacing="0" w:afterAutospacing="0"/>
        <w:contextualSpacing w:val="1"/>
        <w:jc w:val="center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  <w:i w:val="1"/>
        </w:rPr>
        <w:t>Календарно-тематическое планирование</w:t>
      </w:r>
    </w:p>
    <w:tbl>
      <w:tblPr>
        <w:tblpPr w:bottomFromText="200" w:leftFromText="180" w:rightFromText="180" w:tblpX="-1097" w:tblpY="1450" w:horzAnchor="margin" w:vertAnchor="page"/>
        <w:tblW w:w="10550" w:type="dxa"/>
        <w:tblInd w:w="-108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/>
      <w:tr>
        <w:trPr>
          <w:cantSplit/>
          <w:trHeight w:hRule="atLeast" w:val="500"/>
        </w:trPr>
        <w:tc>
          <w:tcPr>
            <w:tcW w:w="76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354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темы</w:t>
            </w:r>
          </w:p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(разделов)</w:t>
            </w:r>
          </w:p>
        </w:tc>
        <w:tc>
          <w:tcPr>
            <w:tcW w:w="113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 </w:t>
            </w:r>
          </w:p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изучение</w:t>
            </w:r>
          </w:p>
        </w:tc>
        <w:tc>
          <w:tcPr>
            <w:tcW w:w="198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</w:t>
            </w:r>
          </w:p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</w:t>
            </w:r>
          </w:p>
        </w:tc>
      </w:tr>
      <w:tr>
        <w:trPr>
          <w:cantSplit/>
          <w:trHeight w:hRule="atLeast" w:val="72"/>
        </w:trPr>
        <w:tc>
          <w:tcPr>
            <w:tcW w:w="76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widowControl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widowControl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widowControl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3119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widowControl w:val="1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389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Малкъар тил. Аны сакълауну магъанасы.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Къысха хапар жарашдырыргъа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Къайтарыу. Сёз тутуш бла бош айтым.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§1, 9-чу иш.</w:t>
            </w:r>
          </w:p>
        </w:tc>
      </w:tr>
      <w:tr>
        <w:trPr>
          <w:trHeight w:hRule="atLeast" w:val="28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Старт </w:t>
            </w: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ынау жаздырма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«Чегем тарында»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Тюз эм сёдегей сёз.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>
        <w:trPr>
          <w:trHeight w:hRule="atLeast" w:val="371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Тюз эм сёдегей сёз.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§1-2, 14-ч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 иш.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Тюз сёзлю айтымлада тыйгъыч белгиле.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§3-4, 18-чи иш, тыйгъыч белгилени салыргъа.</w:t>
            </w:r>
          </w:p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Ушакъ. Цитата.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§5-6, 33-чю иш.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Кёлденжазма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«Мёчюланы Кязим».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къайтарыуу.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Къош айтым. Къош айтымланы къауумлары.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§6-7; 41-чи иш.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Байламлы тенг жарашхан къош айтымлада тыйгъыч белгиле.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§11-12; 49-чу иш.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Бойсуннган къош айтымны ангылатыу.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§13-14; жорукъланы билирге.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Бойсуннган къош айтымланы кесеклерини байланыулары, алады тыйгъыч белгиле.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§15-16; 71-72 ишле, айтымла къураргъа.</w:t>
            </w:r>
          </w:p>
        </w:tc>
      </w:tr>
      <w:tr>
        <w:trPr>
          <w:trHeight w:hRule="atLeast" w:val="540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Эсден</w:t>
            </w:r>
            <w:r>
              <w:rPr>
                <w:rFonts w:ascii="Times New Roman" w:hAnsi="Times New Roman"/>
                <w:b w:val="1"/>
              </w:rPr>
              <w:t>жазма.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Бойсуннган къош айтымны кесеклерини къаллайла болгъанларына кёре къауумлары.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§17-18; 78-чи иш, жорукъланы билирге.</w:t>
            </w:r>
          </w:p>
        </w:tc>
      </w:tr>
      <w:tr>
        <w:trPr>
          <w:trHeight w:hRule="atLeast" w:val="972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Бойсуннган башчы эм бойсуннган толтуруучу айтымлы къош айтымла.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§19-20; 88-чи ишни толтурургъа.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троль</w:t>
            </w:r>
            <w:r>
              <w:rPr>
                <w:rFonts w:ascii="Times New Roman" w:hAnsi="Times New Roman"/>
              </w:rPr>
              <w:t>. Сынау жаздырма.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Бойсуннган хапарчы, бойсуннган айгъакълаучу айтымлы къош айтымла.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§21-22; 95-чи ишни толтурургъа.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Бойсуннган заманчы кесекли къош айтымла. Бойсуннган орунчу кесекли къош айтымла.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widowControl w:val="0"/>
              <w:spacing w:lineRule="auto" w:line="2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§23-24; 102-чи иш, тыйгъыч белгилени салыргъа.</w:t>
            </w:r>
          </w:p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Бойсуннган халчы, бойсуннган сылтаучу кесекли къош айтымла.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§25-26; 115-чи иш.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Бойсуннган себепчи, бойсуннган муратчы кесекли къош айтымла.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§26-27; 122-чи иш, муатчы айтымланы ызларгъа.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Бойсуннган ёлчемчи, бойсуннган таянчакъ кесекли къош айтымла.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§28-29; 129-чу иш, таянчакъ айтымланы жазаргъа.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Бойсуннган сансыз кесекли къош айтым.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§29-30; 133-чю иш, тыйгъыч белгилерин салыргъа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Бойсуннган къош айтымны синтаксис жаны бла тинтиу.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§30-31; 134-чю иш, текстни жанрын белгилерге.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ртакъ членли айтымлада тыйгъыч белгиле.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§31-32; 140-чы иш.</w:t>
            </w:r>
          </w:p>
        </w:tc>
      </w:tr>
      <w:tr>
        <w:trPr>
          <w:trHeight w:hRule="atLeast" w:val="688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Талай бойсуннган кесеги болгъан къош айтымла.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§33; 143-чю иш, нарт сёзлени тенглешдирирге.</w:t>
            </w:r>
          </w:p>
        </w:tc>
      </w:tr>
      <w:tr>
        <w:trPr>
          <w:trHeight w:hRule="atLeast" w:val="926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Эсденжазма.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къайтарыргъа.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тил, аны нормалары.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§34; 148-чи иш, тыйгъыч белгилени салыргъа.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Тилни стильлери.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§35; 151-чи иш, тилни стилин белгилерге.</w:t>
            </w:r>
          </w:p>
        </w:tc>
      </w:tr>
      <w:tr>
        <w:trPr>
          <w:trHeight w:hRule="atLeast" w:val="706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 сынау жаздырма.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Кёлденжазма. Гуртуланы Берт «Чалгъычыла».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Малкъар тилни грамматикасын тинтиуню тарыхындан.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§36; 155-чи иш, соруулагъа жууап этерге.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Къайтарыу. Фонетика. Графика. Орфография.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§37; къайтарыугъа соруула.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Кёлденжазма.Этезланы О. «Къаяла унутмагъандыла». Ахматны бушуулу къадары.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Къайтарыу.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аттестация. Бегитиу сынау жаздырма.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Жорукъланы къайтарыу.</w:t>
            </w:r>
          </w:p>
        </w:tc>
      </w:tr>
      <w:tr>
        <w:trPr>
          <w:trHeight w:hRule="atLeast" w:val="135"/>
        </w:trPr>
        <w:tc>
          <w:tcPr>
            <w:tcW w:w="76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nil"/>
            </w:tcBorders>
            <w:vAlign w:val="center"/>
            <w:hideMark/>
          </w:tcPr>
          <w:p>
            <w:pPr>
              <w:pStyle w:val="P1"/>
              <w:numPr>
                <w:ilvl w:val="0"/>
                <w:numId w:val="1"/>
              </w:numPr>
              <w:suppressAutoHyphens w:val="1"/>
              <w:spacing w:lineRule="auto" w:line="276" w:beforeAutospacing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nil"/>
            </w:tcBorders>
            <w:hideMark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Сёз къурау. Морфология. Синтаксис. Пунктуация.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nil"/>
            </w:tcBorders>
            <w:hideMark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000000"/>
            </w:tcBorders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</w:p>
        </w:tc>
      </w:tr>
      <w:tr>
        <w:trPr>
          <w:trHeight w:hRule="atLeast" w:val="135"/>
        </w:trPr>
        <w:tc>
          <w:tcPr>
            <w:tcW w:w="10550" w:type="dxa"/>
            <w:gridSpan w:val="6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76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Битеу: 34 сагъат.</w:t>
            </w:r>
          </w:p>
        </w:tc>
      </w:tr>
    </w:tbl>
    <w:p>
      <w:pPr>
        <w:rPr>
          <w:rFonts w:ascii="Times New Roman" w:hAnsi="Times New Roman"/>
        </w:rPr>
      </w:pPr>
    </w:p>
    <w:sectPr>
      <w:type w:val="nextPage"/>
      <w:pgSz w:w="11906" w:h="16838" w:code="9"/>
      <w:pgMar w:left="1701" w:right="850" w:top="606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9A207E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widowControl w:val="0"/>
      <w:spacing w:lineRule="auto" w:line="240" w:after="0" w:beforeAutospacing="0" w:afterAutospacing="0"/>
    </w:pPr>
    <w:rPr>
      <w:rFonts w:ascii="Courier New" w:hAnsi="Courier New"/>
      <w:color w:val="000000"/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